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F4" w:rsidRPr="009D66A4" w:rsidRDefault="00546629" w:rsidP="00546629">
      <w:pPr>
        <w:jc w:val="right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proofErr w:type="spellStart"/>
      <w:r w:rsidRPr="009D66A4">
        <w:rPr>
          <w:rFonts w:ascii="Arial" w:eastAsia="Times New Roman" w:hAnsi="Arial" w:cs="Arial"/>
          <w:b/>
          <w:i/>
          <w:color w:val="000000"/>
          <w:sz w:val="28"/>
          <w:szCs w:val="28"/>
        </w:rPr>
        <w:t>An</w:t>
      </w:r>
      <w:bookmarkStart w:id="0" w:name="_GoBack"/>
      <w:bookmarkEnd w:id="0"/>
      <w:r w:rsidRPr="009D66A4">
        <w:rPr>
          <w:rFonts w:ascii="Arial" w:eastAsia="Times New Roman" w:hAnsi="Arial" w:cs="Arial"/>
          <w:b/>
          <w:i/>
          <w:color w:val="000000"/>
          <w:sz w:val="28"/>
          <w:szCs w:val="28"/>
        </w:rPr>
        <w:t>exa</w:t>
      </w:r>
      <w:proofErr w:type="spellEnd"/>
      <w:r w:rsidRPr="009D66A4">
        <w:rPr>
          <w:rFonts w:ascii="Arial" w:eastAsia="Times New Roman" w:hAnsi="Arial" w:cs="Arial"/>
          <w:b/>
          <w:i/>
          <w:color w:val="000000"/>
          <w:sz w:val="28"/>
          <w:szCs w:val="28"/>
        </w:rPr>
        <w:t xml:space="preserve"> 3.1</w:t>
      </w:r>
    </w:p>
    <w:p w:rsidR="00546629" w:rsidRPr="009D66A4" w:rsidRDefault="00546629" w:rsidP="00546629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Lista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operațiuni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lucrări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întreținere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sistem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iluminat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public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Municipiul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>Sfantu</w:t>
      </w:r>
      <w:proofErr w:type="spellEnd"/>
      <w:r w:rsidRPr="009D66A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Gheorghe</w:t>
      </w:r>
    </w:p>
    <w:p w:rsidR="00546629" w:rsidRPr="009D66A4" w:rsidRDefault="00546629" w:rsidP="00546629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84"/>
        <w:gridCol w:w="6334"/>
        <w:gridCol w:w="1057"/>
        <w:gridCol w:w="1559"/>
      </w:tblGrid>
      <w:tr w:rsidR="00546629" w:rsidRPr="009D66A4" w:rsidTr="00F47D4B">
        <w:trPr>
          <w:trHeight w:val="720"/>
          <w:tblHeader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FCDCD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Nr</w:t>
            </w:r>
            <w:proofErr w:type="spellEnd"/>
            <w:r w:rsidRPr="009D66A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9D66A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crt</w:t>
            </w:r>
            <w:proofErr w:type="spellEnd"/>
          </w:p>
        </w:tc>
        <w:tc>
          <w:tcPr>
            <w:tcW w:w="6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FCDCD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Operație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FCDCD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UM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FCDCD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bCs/>
                <w:sz w:val="28"/>
                <w:szCs w:val="28"/>
              </w:rPr>
              <w:t>Cantități</w:t>
            </w:r>
            <w:proofErr w:type="spellEnd"/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halogen 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35W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90W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140W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mercur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125W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lampa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mercur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8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16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24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32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48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24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lentile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50W FT4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 FT5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100W FT6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150W FT7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35W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60W FT9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90W FT20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140W FT8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driver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40W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driver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LED75W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driver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LED150W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programabil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mercur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125W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balast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mercur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Masurari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luminotehnice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/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/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tronson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descarcator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tensiune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transformator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12V/220V 50W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măsura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,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4,1 m - 6m,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6,1m - 8m,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aliniament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 xml:space="preserve">terminal,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Bloc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ancorare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circuite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aerian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TYIR 50 OL-AI 2x25mmp,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aerian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TYIR 50 OL-AI 3x35+16mmp,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electric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aerian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/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flexibil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MCCG 3x2,5mmp,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otel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galvanizat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d=2mm,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otel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galvanizat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d=3mm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ACYAbY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3x150+70mmp,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ACYAbY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3x25+16mmp,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ACYAbY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3x35+16mmp,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ACYAbY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3x50+25mmp,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ACYAbY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4x16mmp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ACYY 4x10mmp,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ACYY 4x16mmp,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CYY 3x1,5mmp,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CYY 3x2,5mmp,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MCCG 3x1,5mmp,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Clema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interior,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Cleme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conexiuni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exterioare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3000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manopera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electrician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operatiuni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nenormate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Conductor tip FY 1,5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mmp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Conductor tip FY 2,5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mmp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Conductor tip FY 4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mmp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Cutie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alimentare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festiv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Priza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festiv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Contactor 115A,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Dispozitiv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amorsare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surse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lumina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vapori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500</w:t>
            </w:r>
          </w:p>
        </w:tc>
      </w:tr>
      <w:tr w:rsidR="00546629" w:rsidRPr="009D66A4" w:rsidTr="00546629">
        <w:trPr>
          <w:trHeight w:val="9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Dispozitivului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protectie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impotriva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electrocutării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rezistenta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dispersie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mica de 10 ohm,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71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Completare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priza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pamant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electrod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2 1/2 " 2.5 m +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platbanda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40x4 3m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utilaj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PRB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activitati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nenormate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FT11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150W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FT13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60W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90W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140W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halogenura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ornamental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70W FT16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ornamental -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>sodiu100W FT17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ornamental - LED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 xml:space="preserve">40W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tronconic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55W FT1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75W FT1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145W FT1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ornamental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stradal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150W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sodiu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>FT18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ornamental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stradal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100W LED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tronconic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ceas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programator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astro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88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verificare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generala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3,1m -4m,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4,1m -6m,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fixare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un brat,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fixare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2 brat,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conexiuni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circuite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circuite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circuite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4,1 m - 6m,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clasic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6,1 m - 8m,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aliniament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,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terminal,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H=8m ornamental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fusta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H=6m ornamental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fonta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H=4m ornamental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fonta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Consola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ornamentala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fonta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Consola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ornamentala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flexibil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protectie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F63mm,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flexibil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protectie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F40mm,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546629" w:rsidRPr="009D66A4" w:rsidTr="00546629">
        <w:trPr>
          <w:trHeight w:val="619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108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Sufa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Sufa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mansonare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derivatie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mansonare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legătura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rigid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protectie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F110mm,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pozare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75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confectie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Evacuare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reziduri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Foraj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orizontal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tub PVC F100mm - F160mm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traversare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sant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deschis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profil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întrerupător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automat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diferential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întrerupător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automat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monopolar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aerian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cablu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subteran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fixare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doua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brate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fixare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un brat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4m - 6m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întretinere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echipament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sustinere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6,1 m - 8m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Revizie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Releu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crepuscular,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Săpătura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MPR 160A,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Masurari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Verificari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electrice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camerete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800x800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capac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12.5t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trafic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camerete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800x800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capac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40t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trafic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rutier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134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MPR 35A,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MPR 63A,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fuzibila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monopolara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10A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Siguranta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tripolara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automata 25A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Identificare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defect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laborator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PRAM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Umplutura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compactată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straturi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0,2m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nou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pavele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noi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circulatie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asfalt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decopertare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circulatie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decopertare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vegetal,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decopertare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vegetal,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circulatie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pavele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decopertare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asfalt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nou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circulatie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rutiera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asfalt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decopertare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circulatie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rutiera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asfalt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pavele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recuperate,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refacere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profil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sant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(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sapatura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nisip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folie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avertizoare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 xml:space="preserve">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platbanda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2500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capac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stâlp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metalic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Proiectare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ora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Realizare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structura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B200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telegestiune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individuala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concentrator zonal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sistem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telegestiune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642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158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Cutie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alimentare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stalp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teaca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montaj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aparent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Cutie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distributie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4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circuite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160A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Cutie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comanda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public (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punct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aprindere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 xml:space="preserve">160A din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policarbonat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Cleme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derivatie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CDD 15 IL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Cleme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derivatie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CDD 45 IL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Corp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pentru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trecere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variere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 xml:space="preserve">flux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luminos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FT22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Senzor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detectare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prezenta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zona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trecere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pietoni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cleme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legatura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cutii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stalpi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corp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incastrat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35W IP66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bagheta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300 mm 3000k 1200 lm IP67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>12W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bagheta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600 mm 3000k 2400 lm IP67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>24W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bagheta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900 mm 3000k 3600 lm IP 67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  <w:t>36W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Proiector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24W IP66 IK08 3000 lm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Pitic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ornamental h=1m 50W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indirect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Proiector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spot 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etans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IP65 50W halogen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Aparat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tip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proiector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fascicol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ingust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LED 5x3W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Bagheta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fluorescenta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35W wall washer IP 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Spargere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beton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176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Punct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aprindere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nou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complet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echipat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cu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sistem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telegestiune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Dispecerat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- conform FT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sz w:val="28"/>
                <w:szCs w:val="28"/>
              </w:rPr>
              <w:t>lunar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</w:t>
            </w:r>
          </w:p>
        </w:tc>
      </w:tr>
      <w:tr w:rsidR="00546629" w:rsidRPr="009D66A4" w:rsidTr="00546629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Extindere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/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preluare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comunicație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module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telegestiune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existente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an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/an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6000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Extindere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/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preluare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gazduire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in cloud  module</w:t>
            </w:r>
            <w:r w:rsidRPr="009D66A4">
              <w:rPr>
                <w:rFonts w:ascii="Arial" w:eastAsia="Times New Roman" w:hAnsi="Arial" w:cs="Arial"/>
                <w:sz w:val="28"/>
                <w:szCs w:val="28"/>
              </w:rPr>
              <w:br/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telegestiune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existente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/an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6000</w:t>
            </w:r>
          </w:p>
        </w:tc>
      </w:tr>
      <w:tr w:rsidR="00546629" w:rsidRPr="009D66A4" w:rsidTr="00546629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Înlocuire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modul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control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analizor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punct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aprindere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iluminat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compatibil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și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interoperabil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cu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cele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existente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punctele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aprindere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existente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în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Municipiul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Sfantu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Gheorghe(material,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demontare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analizor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defect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și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montare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analizor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nou</w:t>
            </w:r>
            <w:proofErr w:type="spellEnd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D66A4">
              <w:rPr>
                <w:rFonts w:ascii="Arial" w:eastAsia="Times New Roman" w:hAnsi="Arial" w:cs="Arial"/>
                <w:sz w:val="28"/>
                <w:szCs w:val="28"/>
              </w:rPr>
              <w:t>buc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6629" w:rsidRPr="009D66A4" w:rsidRDefault="00546629" w:rsidP="00546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66A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7500</w:t>
            </w:r>
          </w:p>
        </w:tc>
      </w:tr>
    </w:tbl>
    <w:p w:rsidR="00546629" w:rsidRPr="009D66A4" w:rsidRDefault="00546629" w:rsidP="00546629">
      <w:pPr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sectPr w:rsidR="00546629" w:rsidRPr="009D66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F4"/>
    <w:rsid w:val="002C55C5"/>
    <w:rsid w:val="00402AF4"/>
    <w:rsid w:val="00546629"/>
    <w:rsid w:val="009D66A4"/>
    <w:rsid w:val="00AB364F"/>
    <w:rsid w:val="00F4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4D160-92DC-43E0-B97F-0E7CFA16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4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2025-05-06T08:01:00Z</dcterms:created>
  <dcterms:modified xsi:type="dcterms:W3CDTF">2025-05-06T11:56:00Z</dcterms:modified>
</cp:coreProperties>
</file>